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Times New Roman" w:hAnsi="Times New Roman" w:cs="Times New Roman"/>
          <w:b/>
          <w:i w:val="0"/>
          <w:sz w:val="32"/>
        </w:rPr>
        <w:t>ПУБЛИЧНАЯ ОФЕРТА</w:t>
      </w:r>
    </w:p>
    <w:p>
      <w:pPr>
        <w:spacing w:before="0" w:after="80"/>
        <w:jc w:val="center"/>
      </w:pPr>
      <w:r>
        <w:rPr>
          <w:rFonts w:ascii="Times New Roman" w:hAnsi="Times New Roman" w:cs="Times New Roman"/>
          <w:b w:val="0"/>
          <w:i/>
          <w:sz w:val="24"/>
        </w:rPr>
        <w:t>о заключении договора на предоставление доступа</w:t>
        <w:br/>
        <w:t>к цифровым информационным продуктам</w:t>
      </w:r>
    </w:p>
    <w:p>
      <w:pPr>
        <w:spacing w:before="0" w:after="280"/>
        <w:jc w:val="center"/>
      </w:pPr>
      <w:r>
        <w:rPr>
          <w:rFonts w:ascii="Times New Roman" w:hAnsi="Times New Roman" w:cs="Times New Roman"/>
          <w:b w:val="0"/>
          <w:i w:val="0"/>
          <w:sz w:val="22"/>
        </w:rPr>
        <w:t>Редакция от 05.04.2026 г.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1. ОБЩИЕ ПОЛОЖЕНИЯ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1.1. Настоящий документ является официальным предложением (публичной офертой) Моргачева Радомира Вячеславовича, действующего в качестве самозанятого (далее — «Исполнитель»), адресованным любому физическому лицу (далее — «Заказчик»), заключить договор на предоставление доступа к цифровым информационным продуктам (далее — «Договор») на изложенных ниже условиях.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1.2. В соответствии с п. 2 ст. 437 Гражданского кодекса Российской Федерации, настоящий документ является публичной офертой.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1.3. Акцептом настоящей Оферты является совершение Заказчиком действий по оплате любого из цифровых продуктов, представленных на Сайте Исполнителя. Договор считается заключённым с момента поступления денежных средств на счёт Исполнителя или платёжного агента Исполнителя.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1.4. Совершая акцепт, Заказчик подтверждает, что полностью ознакомлен и согласен со всеми условиями настоящей Оферты и принимает их без оговорок.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1.5. Настоящая Оферта может быть акцептована исключительно лицами, достигшими 18 лет, либо лицами, обладающими полной дееспособностью в соответствии с законодательством Российской Федерации.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2. ТЕРМИНЫ И ОПРЕДЕЛЕНИЯ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2.1. Исполнитель — Моргачев Радомир Вячеславович, самозанятый, зарегистрированный в качестве налогоплательщика налога на профессиональный доход (НПД) в соответствии с Федеральным законом от 27.11.2018 № 422-ФЗ. ИНН: 770470317634. Не является плательщиком НДС.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2.2. Заказчик — дееспособное физическое лицо, акцептовавшее настоящую Оферту.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2.3. Сайт — интернет-ресурс, расположенный по адресу https://botforgelab.ru, содержащий описание Продуктов, условия их приобретения и юридическую документацию.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2.4. Продукт (Цифровой продукт) — цифровой информационный товар в формате PDF-файла и/или ZIP-архива с документацией, руководствами и сопроводительными материалами, предоставляемый Заказчику путём доставки на адрес электронной почты.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2.5. Акцепт — полное и безоговорочное принятие Заказчиком условий настоящей Оферты путём оплаты Продукта.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2.6. Платёжный агент — ООО «РОБОКАССА» (Robokassa), осуществляющее приём платежей от Заказчиков в пользу Исполнителя.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3. ПРЕДМЕТ ДОГОВОРА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3.1. Исполнитель обязуется предоставить Заказчику доступ к оплаченному Цифровому продукту путём его доставки на адрес электронной почты, указанный Заказчиком при оплате, а Заказчик обязуется оплатить Продукт в соответствии с условиями настоящей Оферты.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3.2. Перечень и стоимость Продуктов: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D9D9D9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/>
                <w:i w:val="0"/>
                <w:sz w:val="22"/>
              </w:rPr>
              <w:t>Продукт</w:t>
            </w:r>
          </w:p>
        </w:tc>
        <w:tc>
          <w:tcPr>
            <w:tcW w:type="dxa" w:w="3324"/>
            <w:shd w:val="clear" w:color="auto" w:fill="D9D9D9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/>
                <w:i w:val="0"/>
                <w:sz w:val="22"/>
              </w:rPr>
              <w:t>Тариф</w:t>
            </w:r>
          </w:p>
        </w:tc>
        <w:tc>
          <w:tcPr>
            <w:tcW w:type="dxa" w:w="3324"/>
            <w:shd w:val="clear" w:color="auto" w:fill="D9D9D9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/>
                <w:i w:val="0"/>
                <w:sz w:val="22"/>
              </w:rPr>
              <w:t>Стоимость (руб.)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BotForge Factory Guide v2.0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Basic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1 490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BotForge Factory Guide v2.0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Standard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3 990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BotForge Factory Guide v2.0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Premium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8 990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Органик-машина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Basic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990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Органик-машина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Standard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2 490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Органик-машина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Premium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5 990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Standard Bundle</w:t>
              <w:br/>
              <w:t>(Factory Standard + Organic Standard)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—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5 490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Ultimate Bundle</w:t>
              <w:br/>
              <w:t>(Factory Premium + Organic Premium)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—</w:t>
            </w:r>
          </w:p>
        </w:tc>
        <w:tc>
          <w:tcPr>
            <w:tcW w:type="dxa" w:w="3324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b w:val="0"/>
                <w:i w:val="0"/>
                <w:sz w:val="22"/>
              </w:rPr>
              <w:t>11 990</w:t>
            </w:r>
          </w:p>
        </w:tc>
      </w:tr>
    </w:tbl>
    <w:p>
      <w:pPr>
        <w:spacing w:before="80" w:after="80"/>
      </w:pP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3.3. Исполнитель вправе изменять перечень, описание и стоимость Продуктов в одностороннем порядке путём размещения актуальной информации на Сайте. Изменение стоимости не распространяется на уже оплаченные Продукты.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3.4. Продукты являются цифровыми информационными товарами, содержащими авторские методологии, руководства и сопроводительные материалы в области разработки и продвижения Telegram-ботов.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4. ПОРЯДОК ОКАЗАНИЯ УСЛУГ И ДОСТАВКА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4.1. Доставка оплаченного Продукта осуществляется на адрес электронной почты, указанный Заказчиком в процессе оформления и оплаты заказа.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4.2. Срок доставки — не позднее 48 (Сорока восьми) часов с момента подтверждения оплаты. В случае технических сбоев срок доставки может быть увеличен до 72 (Семидесяти двух) часов, о чём Заказчик уведомляется по электронной почте.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4.3. Продукт считается доставленным с момента отправки на указанный Заказчиком адрес электронной почты. Ответственность за корректность указанного адреса электронной почты несёт Заказчик.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4.4. В случае, если Заказчик не получил Продукт в течение 48 часов, он обязан обратиться в службу поддержки по адресу botlab.support@gmail.com для повторной доставки.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4.5. Совершая оплату, Заказчик выражает согласие с немедленным началом исполнения Договора и осознаёт, что с момента доставки Продукта он утрачивает право на отказ от Договора, предусмотренное ст. 32 Закона РФ «О защите прав потребителей».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5. ЦЕНА И ПОРЯДОК ОПЛАТЫ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5.1. Стоимость Продуктов указана в пункте 3.2 настоящей Оферты и на Сайте Исполнителя. Все цены указаны в российских рублях. НДС не облагается на основании ФЗ от 27.11.2018 № 422-ФЗ.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5.2. Оплата производится в безналичной форме через платёжного агента — ООО «РОБОКАССА» — в соответствии с правилами платёжного агента.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5.3. Моментом оплаты считается момент поступления денежных средств на счёт Исполнителя или подтверждение платёжного агента об успешной оплате.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5.4. По запросу Заказчика Исполнитель формирует чек в соответствии с требованиями ФЗ от 27.11.2018 № 422-ФЗ через приложение «Мой налог».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6. ВОЗВРАТ ДЕНЕЖНЫХ СРЕДСТВ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6.1. Продукты Исполнителя являются цифровыми информационными товарами. В соответствии со ст. 26.1 Закона РФ «О защите прав потребителей» и Постановлением Правительства РФ от 31.12.2020 № 2463, возврат цифрового товара не производится после его доставки, так как услуга считается оказанной с момента отправки Продукта на электронную почту Заказчика.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6.2. Возврат денежных средств возможен в следующих случаях: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Продукт не доставлен Заказчику в течение 48 часов после подтверждения оплаты по причинам, не зависящим от Заказчика — возврат в полном объёме;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Техническое дублирование платежа — возврат излишне уплаченной суммы.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6.3. Для подачи заявки на возврат Заказчик направляет обращение на адрес botlab.support@gmail.com с указанием: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адреса электронной почты, использованного при оплате;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даты и суммы платежа;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описания проблемы.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6.4. Срок рассмотрения обращения — 10 (Десять) рабочих дней. Возврат осуществляется тем же способом, которым была произведена оплата.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7. ИНТЕЛЛЕКТУАЛЬНАЯ СОБСТВЕННОСТЬ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7.1. Все Продукты, включая их содержание, структуру, оформление, тексты, методологии, алгоритмы, промпты и иные материалы, являются объектами интеллектуальной собственности Исполнителя и охраняются в соответствии с Частью IV Гражданского кодекса Российской Федерации.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7.2. Приобретение Продукта предоставляет Заказчику неисключительную, непередаваемую, отзывную лицензию на использование Продукта исключительно в личных целях.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7.3. Заказчик не вправе: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воспроизводить, копировать, распространять или перепродавать Продукт или его части;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передавать доступ к Продукту третьим лицам;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использовать Продукт для создания производных произведений в коммерческих целях;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размещать Продукт или его части в открытом доступе в сети Интернет.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7.4. В случае нарушения условий пункта 7.3 Исполнитель вправе потребовать компенсации в соответствии со ст. 1301 ГК РФ — от 10 000 до 5 000 000 рублей за каждый случай нарушения.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8. ПРАВА И ОБЯЗАННОСТИ СТОРОН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8.1. Исполнитель обязуется: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предоставить Заказчику оплаченный Продукт в сроки, установленные настоящей Офертой;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обеспечивать хранение и обработку персональных данных Заказчика в соответствии с законодательством РФ;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рассматривать обращения Заказчика в установленные сроки;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по запросу формировать чек через приложение «Мой налог».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8.2. Исполнитель вправе: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изменять условия Оферты, стоимость и перечень Продуктов в одностороннем порядке с момента публикации изменений на Сайте;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приостанавливать работу Сайта для проведения технических работ;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отказать в обслуживании в случае нарушения Заказчиком условий настоящей Оферты.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8.3. Заказчик обязуется: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предоставлять достоверные данные при оформлении заказа, включая корректный адрес электронной почты;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не воспроизводить, не копировать, не продавать и не передавать Продукт третьим лицам;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использовать Продукт исключительно в личных целях.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8.4. Заказчик вправе: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получить оплаченный Продукт в установленные сроки;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обратиться в службу поддержки по вопросам доставки и качества Продукта;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потребовать возврата денежных средств в соответствии с разделом 6 настоящей Оферты.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9. КОНФИДЕНЦИАЛЬНОСТЬ И ПЕРСОНАЛЬНЫЕ ДАННЫЕ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9.1. Стороны обеспечивают конфиденциальность и безопасность персональных данных в соответствии с ФЗ от 27.07.2006 № 152-ФЗ «О персональных данных».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9.2. Исполнитель собирает и обрабатывает следующие персональные данные Заказчика: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адрес электронной почты (для доставки Продукта);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имя (если указано при оплате);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данные о платеже (сумма, дата, номер транзакции).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9.3. Персональные данные используются исключительно для: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доставки оплаченного Продукта;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обработки возвратов и обращений;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формирования чеков.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9.4. Персональные данные хранятся на защищённом сервере на территории Российской Федерации. Данные не передаются третьим лицам в коммерческих целях. Передача данных платёжному агенту (ООО «РОБОКАССА») осуществляется исключительно в целях проведения расчётов.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9.5. Заказчик вправе запросить информацию об обрабатываемых данных, потребовать их удаления или отозвать согласие на обработку, направив обращение на адрес botlab.support@gmail.com.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10. ОТВЕТСТВЕННОСТЬ СТОРОН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10.1. Стороны несут ответственность за неисполнение или ненадлежащее исполнение обязательств по Договору в соответствии с настоящей Офертой и законодательством Российской Федерации.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10.2. Исполнитель не несёт ответственности: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за невозможность доставки Продукта вследствие указания Заказчиком некорректного адреса электронной почты;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за результаты применения Заказчиком информации, полученной из Продукта;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за технические сбои на стороне платёжного агента или почтовых сервисов;</w:t>
      </w:r>
    </w:p>
    <w:p>
      <w:pPr>
        <w:spacing w:before="0" w:after="40" w:line="276" w:lineRule="auto"/>
        <w:ind w:left="567" w:hanging="283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— за содержание веб-сайтов третьих лиц, ссылки на которые могут содержаться в Продукте.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10.3. Совокупная ответственность Исполнителя по Договору ограничивается суммой, фактически уплаченной Заказчиком за соответствующий Продукт.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11. ФОРС-МАЖОР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11.1. Стороны освобождаются от ответственности за неисполнение или ненадлежащее исполнение обязательств, если таковое явилось следствием обстоятельств непреодолимой силы (форс-мажор), включая: стихийные бедствия, пожары, наводнения, землетрясения, эпидемии, военные действия, запретительные действия государственных органов, сбои в работе сети Интернет.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11.2. Сторона, для которой наступили обстоятельства непреодолимой силы, обязана уведомить другую Сторону в течение 30 (Тридцати) рабочих дней.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11.3. Если обстоятельства непреодолимой силы продолжают действовать более 60 (Шестидесяти) рабочих дней, каждая Сторона вправе отказаться от Договора в одностороннем порядке.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12. СРОК ДЕЙСТВИЯ И ИЗМЕНЕНИЕ ОФЕРТЫ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12.1. Настоящая Оферта вступает в силу с момента её размещения на Сайте и действует до момента её отзыва Исполнителем.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12.2. Исполнитель вправе в любое время изменить условия настоящей Оферты, опубликовав новую редакцию на Сайте. Новая редакция вступает в силу с момента публикации.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12.3. Изменения условий Оферты не распространяются на уже оплаченные и доставленные Продукты.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12.4. Договор действует до полного исполнения Сторонами своих обязательств.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13. ПОРЯДОК РАЗРЕШЕНИЯ СПОРОВ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13.1. Все споры и разногласия разрешаются путём переговоров. Досудебный порядок урегулирования спора является обязательным. Срок рассмотрения претензии — 30 (Тридцать) календарных дней.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13.2. Претензии направляются на адрес электронной почты: botlab.support@gmail.com.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13.3. При недостижении согласия спор передаётся на рассмотрение в суд по месту нахождения Исполнителя в соответствии с законодательством Российской Федерации.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/>
          <w:b w:val="0"/>
          <w:i w:val="0"/>
          <w:sz w:val="24"/>
        </w:rPr>
        <w:t>13.4. Язык Договора — русский.</w:t>
      </w:r>
    </w:p>
    <w:p>
      <w:pPr>
        <w:spacing w:before="360" w:after="120"/>
        <w:jc w:val="left"/>
      </w:pPr>
      <w:r>
        <w:rPr>
          <w:rFonts w:ascii="Times New Roman" w:hAnsi="Times New Roman" w:cs="Times New Roman"/>
          <w:b/>
          <w:i w:val="0"/>
          <w:sz w:val="26"/>
        </w:rPr>
        <w:t>14. РЕКВИЗИТЫ ИСПОЛНИТЕЛЯ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ФИО: </w:t>
      </w:r>
      <w:r>
        <w:rPr>
          <w:rFonts w:ascii="Times New Roman" w:hAnsi="Times New Roman" w:cs="Times New Roman"/>
          <w:b w:val="0"/>
          <w:i w:val="0"/>
          <w:sz w:val="24"/>
        </w:rPr>
        <w:t>Моргачев Радомир Вячеславович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Статус: </w:t>
      </w:r>
      <w:r>
        <w:rPr>
          <w:rFonts w:ascii="Times New Roman" w:hAnsi="Times New Roman" w:cs="Times New Roman"/>
          <w:b w:val="0"/>
          <w:i w:val="0"/>
          <w:sz w:val="24"/>
        </w:rPr>
        <w:t>Самозанятый (налог на профессиональный доход)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Правовое основание: </w:t>
      </w:r>
      <w:r>
        <w:rPr>
          <w:rFonts w:ascii="Times New Roman" w:hAnsi="Times New Roman" w:cs="Times New Roman"/>
          <w:b w:val="0"/>
          <w:i w:val="0"/>
          <w:sz w:val="24"/>
        </w:rPr>
        <w:t>ФЗ от 27.11.2018 № 422-ФЗ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ИНН: </w:t>
      </w:r>
      <w:r>
        <w:rPr>
          <w:rFonts w:ascii="Times New Roman" w:hAnsi="Times New Roman" w:cs="Times New Roman"/>
          <w:b w:val="0"/>
          <w:i w:val="0"/>
          <w:sz w:val="24"/>
        </w:rPr>
        <w:t>770470317634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Email: </w:t>
      </w:r>
      <w:r>
        <w:rPr>
          <w:rFonts w:ascii="Times New Roman" w:hAnsi="Times New Roman" w:cs="Times New Roman"/>
          <w:b w:val="0"/>
          <w:i w:val="0"/>
          <w:sz w:val="24"/>
        </w:rPr>
        <w:t>botlab.support@gmail.com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Сайт: </w:t>
      </w:r>
      <w:r>
        <w:rPr>
          <w:rFonts w:ascii="Times New Roman" w:hAnsi="Times New Roman" w:cs="Times New Roman"/>
          <w:b w:val="0"/>
          <w:i w:val="0"/>
          <w:sz w:val="24"/>
        </w:rPr>
        <w:t>https://botforgelab.ru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Telegram: </w:t>
      </w:r>
      <w:r>
        <w:rPr>
          <w:rFonts w:ascii="Times New Roman" w:hAnsi="Times New Roman" w:cs="Times New Roman"/>
          <w:b w:val="0"/>
          <w:i w:val="0"/>
          <w:sz w:val="24"/>
        </w:rPr>
        <w:t>@botforge_lab</w:t>
      </w:r>
    </w:p>
    <w:p>
      <w:pPr>
        <w:spacing w:before="0" w:after="60" w:line="276" w:lineRule="auto"/>
        <w:jc w:val="left"/>
      </w:pPr>
      <w:r>
        <w:rPr>
          <w:rFonts w:ascii="Times New Roman" w:hAnsi="Times New Roman" w:cs="Times New Roman"/>
          <w:b/>
          <w:i w:val="0"/>
          <w:sz w:val="24"/>
        </w:rPr>
        <w:t xml:space="preserve">Поддержка: </w:t>
      </w:r>
      <w:r>
        <w:rPr>
          <w:rFonts w:ascii="Times New Roman" w:hAnsi="Times New Roman" w:cs="Times New Roman"/>
          <w:b w:val="0"/>
          <w:i w:val="0"/>
          <w:sz w:val="24"/>
        </w:rPr>
        <w:t>Пн-Пт, 10:00-19:00 (МСК)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